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8B170" w14:textId="77777777" w:rsidR="00A421BA" w:rsidRDefault="000B50D1" w:rsidP="000B50D1">
      <w:pPr>
        <w:pStyle w:val="Title"/>
        <w:jc w:val="center"/>
        <w:rPr>
          <w:sz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CE11BC7" wp14:editId="22F38699">
            <wp:simplePos x="0" y="0"/>
            <wp:positionH relativeFrom="column">
              <wp:posOffset>-778510</wp:posOffset>
            </wp:positionH>
            <wp:positionV relativeFrom="paragraph">
              <wp:posOffset>-799465</wp:posOffset>
            </wp:positionV>
            <wp:extent cx="3166281" cy="742532"/>
            <wp:effectExtent l="0" t="0" r="0" b="635"/>
            <wp:wrapNone/>
            <wp:docPr id="2" name="Picture 2" descr="C:\Users\hat43177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t43177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281" cy="74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50D1">
        <w:rPr>
          <w:sz w:val="40"/>
        </w:rPr>
        <w:t>FAST FACTS</w:t>
      </w:r>
    </w:p>
    <w:p w14:paraId="4ED7FE6B" w14:textId="77777777" w:rsidR="00CB5EA7" w:rsidRDefault="00CB5EA7" w:rsidP="00CB5EA7">
      <w:pPr>
        <w:pStyle w:val="Default"/>
      </w:pPr>
    </w:p>
    <w:p w14:paraId="336B6EA3" w14:textId="2B20BB40" w:rsidR="00AE12D2" w:rsidRPr="00CB5EA7" w:rsidRDefault="00CB5EA7" w:rsidP="00CB5EA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B5EA7">
        <w:rPr>
          <w:rFonts w:cstheme="minorHAnsi"/>
        </w:rPr>
        <w:t xml:space="preserve"> </w:t>
      </w:r>
      <w:r w:rsidRPr="00CB5EA7">
        <w:rPr>
          <w:rFonts w:cstheme="minorHAnsi"/>
        </w:rPr>
        <w:t xml:space="preserve">A211801 - </w:t>
      </w:r>
      <w:r w:rsidRPr="00CB5EA7">
        <w:rPr>
          <w:rFonts w:cstheme="minorHAnsi"/>
          <w:b/>
          <w:bCs/>
        </w:rPr>
        <w:t xml:space="preserve">BRCA-P: A Randomized, Double-Blind, Placebo-Controlled, Multi-Center, International Phase 3 Study to determine the Preventive Effect of Denosumab on Breast Cancer in Women carrying a </w:t>
      </w:r>
      <w:r w:rsidRPr="00CB5EA7">
        <w:rPr>
          <w:rFonts w:cstheme="minorHAnsi"/>
          <w:b/>
          <w:bCs/>
          <w:i/>
          <w:iCs/>
        </w:rPr>
        <w:t xml:space="preserve">BRCA1 </w:t>
      </w:r>
      <w:r w:rsidRPr="00CB5EA7">
        <w:rPr>
          <w:rFonts w:cstheme="minorHAnsi"/>
          <w:b/>
          <w:bCs/>
        </w:rPr>
        <w:t>Germline Mutation</w:t>
      </w:r>
    </w:p>
    <w:p w14:paraId="423FED6C" w14:textId="29841783" w:rsidR="00AE12D2" w:rsidRPr="00CB5EA7" w:rsidRDefault="00AE12D2" w:rsidP="004D221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B86B6CF" w14:textId="0A200236" w:rsidR="00AE12D2" w:rsidRPr="00CB5EA7" w:rsidRDefault="00AE12D2" w:rsidP="004D221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9019163" w14:textId="65997A86" w:rsidR="00AE12D2" w:rsidRPr="00CB5EA7" w:rsidRDefault="00AE12D2" w:rsidP="004D22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9BCD549" w14:textId="2C4EFC4E" w:rsidR="00D852BC" w:rsidRPr="00CB5EA7" w:rsidRDefault="00D852BC" w:rsidP="00D852B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6D320B4F" w14:textId="222626FD" w:rsidR="00D852BC" w:rsidRPr="00CB5EA7" w:rsidRDefault="00CB5EA7" w:rsidP="00D852B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B5EA7">
        <w:rPr>
          <w:rFonts w:cstheme="minorHAnsi"/>
          <w:b/>
        </w:rPr>
        <w:t>Inclusion criteria</w:t>
      </w:r>
    </w:p>
    <w:p w14:paraId="45B7E33C" w14:textId="6C1B5F54" w:rsidR="00CB5EA7" w:rsidRPr="00CB5EA7" w:rsidRDefault="00CB5EA7" w:rsidP="00CB5EA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B5EA7">
        <w:rPr>
          <w:rFonts w:cstheme="minorHAnsi"/>
          <w:b/>
        </w:rPr>
        <w:t>Women with a confirmed deleterious or likely deleterious BRCA 1 germline mutation (Variant class 4 or 5)</w:t>
      </w:r>
      <w:r w:rsidRPr="00CB5EA7">
        <w:rPr>
          <w:rFonts w:cstheme="minorHAnsi"/>
          <w:b/>
        </w:rPr>
        <w:t>.</w:t>
      </w:r>
    </w:p>
    <w:p w14:paraId="3A954DE3" w14:textId="77777777" w:rsidR="00CB5EA7" w:rsidRPr="00CB5EA7" w:rsidRDefault="00CB5EA7" w:rsidP="00CB5EA7">
      <w:pPr>
        <w:pStyle w:val="Default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CB5EA7">
        <w:rPr>
          <w:rFonts w:asciiTheme="minorHAnsi" w:hAnsiTheme="minorHAnsi" w:cstheme="minorHAnsi"/>
          <w:sz w:val="22"/>
          <w:szCs w:val="22"/>
        </w:rPr>
        <w:t xml:space="preserve">Age ≥ 25 years and ≤ 55 years at randomization </w:t>
      </w:r>
    </w:p>
    <w:p w14:paraId="7487E5A9" w14:textId="41BBB4A9" w:rsidR="00CB5EA7" w:rsidRPr="00CB5EA7" w:rsidRDefault="00CB5EA7" w:rsidP="00CB5EA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B5EA7">
        <w:rPr>
          <w:rFonts w:cstheme="minorHAnsi"/>
          <w:b/>
        </w:rPr>
        <w:t>No evidence of breast cancer by MRI or MG and clinical breast examination within the last 6 months prior to randomization</w:t>
      </w:r>
    </w:p>
    <w:p w14:paraId="590E8AA3" w14:textId="35DA66EA" w:rsidR="00CB5EA7" w:rsidRPr="00CB5EA7" w:rsidRDefault="00CB5EA7" w:rsidP="00CB5EA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B5EA7">
        <w:rPr>
          <w:rFonts w:cstheme="minorHAnsi"/>
          <w:b/>
        </w:rPr>
        <w:t>No clinical evidence of ovarian cancer at randomization</w:t>
      </w:r>
    </w:p>
    <w:p w14:paraId="16AB0284" w14:textId="6D0070B3" w:rsidR="00CB5EA7" w:rsidRPr="00CB5EA7" w:rsidRDefault="00CB5EA7" w:rsidP="00CB5EA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B5EA7">
        <w:rPr>
          <w:rFonts w:cstheme="minorHAnsi"/>
          <w:b/>
        </w:rPr>
        <w:t>Negative pregnancy test at randomization for women of childbearing potential</w:t>
      </w:r>
    </w:p>
    <w:p w14:paraId="44F072AC" w14:textId="102868AC" w:rsidR="00CB5EA7" w:rsidRPr="00CB5EA7" w:rsidRDefault="00CB5EA7" w:rsidP="00CB5EA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B5EA7">
        <w:rPr>
          <w:rFonts w:cstheme="minorHAnsi"/>
          <w:b/>
        </w:rPr>
        <w:t>No preventive breast surgery planned at time of randomization</w:t>
      </w:r>
    </w:p>
    <w:p w14:paraId="79444375" w14:textId="7C49450E" w:rsidR="00CB5EA7" w:rsidRPr="00CB5EA7" w:rsidRDefault="00CB5EA7" w:rsidP="00CB5EA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B5EA7">
        <w:rPr>
          <w:rFonts w:cstheme="minorHAnsi"/>
          <w:b/>
        </w:rPr>
        <w:t>Eastern Cooperative Oncology Group (ECOG) performance status of 0 or 1</w:t>
      </w:r>
    </w:p>
    <w:p w14:paraId="21EB3288" w14:textId="62F70E07" w:rsidR="00CB5EA7" w:rsidRPr="00CB5EA7" w:rsidRDefault="00CB5EA7" w:rsidP="00CB5EA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B5EA7">
        <w:rPr>
          <w:rFonts w:cstheme="minorHAnsi"/>
          <w:b/>
        </w:rPr>
        <w:t>Written informed consent before any study-specific procedure is performed</w:t>
      </w:r>
    </w:p>
    <w:p w14:paraId="3AE21A5B" w14:textId="55DBFD95" w:rsidR="00CB5EA7" w:rsidRPr="00CB5EA7" w:rsidRDefault="00CB5EA7" w:rsidP="00CB5EA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39C2427" w14:textId="227E8940" w:rsidR="00CB5EA7" w:rsidRPr="00CB5EA7" w:rsidRDefault="00CB5EA7" w:rsidP="00CB5EA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B5EA7">
        <w:rPr>
          <w:rFonts w:cstheme="minorHAnsi"/>
          <w:b/>
        </w:rPr>
        <w:t>Exclusion criteria</w:t>
      </w:r>
    </w:p>
    <w:p w14:paraId="6B641292" w14:textId="7D63143C" w:rsidR="00CB5EA7" w:rsidRPr="00CB5EA7" w:rsidRDefault="00CB5EA7" w:rsidP="00CB5EA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B5EA7">
        <w:rPr>
          <w:rFonts w:cstheme="minorHAnsi"/>
          <w:b/>
        </w:rPr>
        <w:t>Prior bilateral mastectomy</w:t>
      </w:r>
    </w:p>
    <w:p w14:paraId="5D0C302A" w14:textId="3DF997E4" w:rsidR="00CB5EA7" w:rsidRPr="00CB5EA7" w:rsidRDefault="00CB5EA7" w:rsidP="00CB5EA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B5EA7">
        <w:rPr>
          <w:rFonts w:cstheme="minorHAnsi"/>
          <w:b/>
        </w:rPr>
        <w:t>History of ovarian cancer (including fallopian and peritoneal cancer)</w:t>
      </w:r>
    </w:p>
    <w:p w14:paraId="2B44D255" w14:textId="36423501" w:rsidR="00CB5EA7" w:rsidRPr="00CB5EA7" w:rsidRDefault="00CB5EA7" w:rsidP="00CB5EA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B5EA7">
        <w:rPr>
          <w:rFonts w:cstheme="minorHAnsi"/>
          <w:b/>
        </w:rPr>
        <w:t>History of breast cancer</w:t>
      </w:r>
    </w:p>
    <w:p w14:paraId="24F8464D" w14:textId="2526D9D3" w:rsidR="00CB5EA7" w:rsidRPr="00CB5EA7" w:rsidRDefault="00CB5EA7" w:rsidP="00CB5EA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B5EA7">
        <w:rPr>
          <w:rFonts w:cstheme="minorHAnsi"/>
          <w:b/>
        </w:rPr>
        <w:t xml:space="preserve">History of invasive cancer except for basal cell or squamous cell skin cancer or carcinoma in situ of the cervix, stage 1 papillary or follicular thyroid cancer, atypical hyperplasia or LCIS (Lobular Carcinoma </w:t>
      </w:r>
      <w:proofErr w:type="gramStart"/>
      <w:r w:rsidRPr="00CB5EA7">
        <w:rPr>
          <w:rFonts w:cstheme="minorHAnsi"/>
          <w:b/>
        </w:rPr>
        <w:t>In</w:t>
      </w:r>
      <w:proofErr w:type="gramEnd"/>
      <w:r w:rsidRPr="00CB5EA7">
        <w:rPr>
          <w:rFonts w:cstheme="minorHAnsi"/>
          <w:b/>
        </w:rPr>
        <w:t xml:space="preserve"> Situ)</w:t>
      </w:r>
    </w:p>
    <w:p w14:paraId="5E7F2B19" w14:textId="08E19AB4" w:rsidR="00CB5EA7" w:rsidRPr="00CB5EA7" w:rsidRDefault="00CB5EA7" w:rsidP="00CB5EA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B5EA7">
        <w:rPr>
          <w:rFonts w:cstheme="minorHAnsi"/>
          <w:b/>
        </w:rPr>
        <w:t>Pregnant or lactating women (within the last 2 months prior to randomization)</w:t>
      </w:r>
    </w:p>
    <w:p w14:paraId="51F8AD8D" w14:textId="55FC6F5A" w:rsidR="00CB5EA7" w:rsidRPr="00CB5EA7" w:rsidRDefault="00CB5EA7" w:rsidP="00CB5EA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B5EA7">
        <w:rPr>
          <w:rFonts w:cstheme="minorHAnsi"/>
          <w:b/>
        </w:rPr>
        <w:t>Unwillingness to use highly effective contraception method during and within at least 5 months after cessation of denosumab/placebo therapy in women of childbearing potential. (Note: Women of childbearing potential should be monitored for pregnancy prior to each denosumab/placebo injection)</w:t>
      </w:r>
    </w:p>
    <w:p w14:paraId="675C2B75" w14:textId="77777777" w:rsidR="00CB5EA7" w:rsidRPr="00CB5EA7" w:rsidRDefault="00CB5EA7" w:rsidP="00CB5EA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B5EA7">
        <w:rPr>
          <w:rFonts w:cstheme="minorHAnsi"/>
          <w:b/>
        </w:rPr>
        <w:t xml:space="preserve">Clinically relevant </w:t>
      </w:r>
      <w:proofErr w:type="spellStart"/>
      <w:r w:rsidRPr="00CB5EA7">
        <w:rPr>
          <w:rFonts w:cstheme="minorHAnsi"/>
          <w:b/>
        </w:rPr>
        <w:t>hypocalcaemia</w:t>
      </w:r>
      <w:proofErr w:type="spellEnd"/>
      <w:r w:rsidRPr="00CB5EA7">
        <w:rPr>
          <w:rFonts w:cstheme="minorHAnsi"/>
          <w:b/>
        </w:rPr>
        <w:t xml:space="preserve"> (history and current condition), or serum calcium &lt;2.0 mmol/L (&lt;8.0 mg/dL)</w:t>
      </w:r>
    </w:p>
    <w:p w14:paraId="5048ACFB" w14:textId="2C1D2953" w:rsidR="00CB5EA7" w:rsidRPr="00CB5EA7" w:rsidRDefault="00CB5EA7" w:rsidP="00CB5EA7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B5EA7">
        <w:rPr>
          <w:rFonts w:cstheme="minorHAnsi"/>
          <w:b/>
        </w:rPr>
        <w:t xml:space="preserve">Hypocalcemia defined by calcium below the normal range (a single value below the normal range does not necessarily constitute </w:t>
      </w:r>
      <w:proofErr w:type="gramStart"/>
      <w:r w:rsidRPr="00CB5EA7">
        <w:rPr>
          <w:rFonts w:cstheme="minorHAnsi"/>
          <w:b/>
        </w:rPr>
        <w:t>hypocalcemia, but</w:t>
      </w:r>
      <w:proofErr w:type="gramEnd"/>
      <w:r w:rsidRPr="00CB5EA7">
        <w:rPr>
          <w:rFonts w:cstheme="minorHAnsi"/>
          <w:b/>
        </w:rPr>
        <w:t xml:space="preserve"> should be ‘corrected’ before dosing the subject). Monitoring of calcium level in regular intervals (usually prior to IP administration) is highly recommended</w:t>
      </w:r>
    </w:p>
    <w:p w14:paraId="75C72EFD" w14:textId="7B7DBD29" w:rsidR="00CB5EA7" w:rsidRPr="00CB5EA7" w:rsidRDefault="00CB5EA7" w:rsidP="00CB5EA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B5EA7">
        <w:rPr>
          <w:rFonts w:cstheme="minorHAnsi"/>
          <w:b/>
        </w:rPr>
        <w:t>Tamoxifen, raloxifene or aromatase inhibitor use during the last 3 months prior to randomization or for a duration of more than 3 years in total (current and prior HRT is permitted)</w:t>
      </w:r>
    </w:p>
    <w:p w14:paraId="21CED8D0" w14:textId="5A6A325D" w:rsidR="00CB5EA7" w:rsidRPr="00CB5EA7" w:rsidRDefault="00CB5EA7" w:rsidP="00CB5EA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B5EA7">
        <w:rPr>
          <w:rFonts w:cstheme="minorHAnsi"/>
          <w:b/>
        </w:rPr>
        <w:t>Prior use of denosumab</w:t>
      </w:r>
    </w:p>
    <w:p w14:paraId="371B0C5A" w14:textId="44D0B13C" w:rsidR="00CB5EA7" w:rsidRPr="00CB5EA7" w:rsidRDefault="00CB5EA7" w:rsidP="00CB5EA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B5EA7">
        <w:rPr>
          <w:rFonts w:cstheme="minorHAnsi"/>
          <w:b/>
        </w:rPr>
        <w:lastRenderedPageBreak/>
        <w:t>Subject has a known prior history or current evidence of osteonecrosis or osteomyelitis of the jaw, or an active dental/jaw condition which requires oral surgery including tooth extraction within 3 months of enrollment</w:t>
      </w:r>
    </w:p>
    <w:p w14:paraId="152C18A6" w14:textId="69DAFAE7" w:rsidR="00CB5EA7" w:rsidRPr="00CB5EA7" w:rsidRDefault="00CB5EA7" w:rsidP="00CB5EA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B5EA7">
        <w:rPr>
          <w:rFonts w:cstheme="minorHAnsi"/>
          <w:b/>
        </w:rPr>
        <w:t>Concurrent treatment with a bisphosphonate or an anti-angiogenic agent</w:t>
      </w:r>
    </w:p>
    <w:p w14:paraId="10D84CE8" w14:textId="3568A75C" w:rsidR="00CB5EA7" w:rsidRPr="00CB5EA7" w:rsidRDefault="00CB5EA7" w:rsidP="00CB5EA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B5EA7">
        <w:rPr>
          <w:rFonts w:cstheme="minorHAnsi"/>
          <w:b/>
        </w:rPr>
        <w:t>Any major medical or psychiatric condition that may prevent the subject from completing the study</w:t>
      </w:r>
    </w:p>
    <w:p w14:paraId="0AE937A3" w14:textId="117C88BB" w:rsidR="00CB5EA7" w:rsidRPr="00CB5EA7" w:rsidRDefault="00CB5EA7" w:rsidP="00CB5EA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B5EA7">
        <w:rPr>
          <w:rFonts w:cstheme="minorHAnsi"/>
          <w:b/>
        </w:rPr>
        <w:t>Known active infection with Hepatitis B virus or Hepatitis C virus</w:t>
      </w:r>
    </w:p>
    <w:p w14:paraId="71962DFF" w14:textId="4CDC12A4" w:rsidR="00CB5EA7" w:rsidRPr="00CB5EA7" w:rsidRDefault="00CB5EA7" w:rsidP="00CB5EA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B5EA7">
        <w:rPr>
          <w:rFonts w:cstheme="minorHAnsi"/>
          <w:b/>
        </w:rPr>
        <w:t>Known infection with human immunodeficiency virus (HIV)</w:t>
      </w:r>
    </w:p>
    <w:p w14:paraId="31C3FF23" w14:textId="21BC5321" w:rsidR="00CB5EA7" w:rsidRPr="00CB5EA7" w:rsidRDefault="00CB5EA7" w:rsidP="00CB5EA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B5EA7">
        <w:rPr>
          <w:rFonts w:cstheme="minorHAnsi"/>
          <w:b/>
        </w:rPr>
        <w:t>Use of any other investigational product (current or prior Aspirin or NSAIDs are permitted)</w:t>
      </w:r>
    </w:p>
    <w:p w14:paraId="50CDDA66" w14:textId="04406ADA" w:rsidR="00CB5EA7" w:rsidRPr="00CB5EA7" w:rsidRDefault="00CB5EA7" w:rsidP="00CB5EA7">
      <w:pPr>
        <w:rPr>
          <w:rFonts w:cstheme="minorHAnsi"/>
        </w:rPr>
      </w:pPr>
    </w:p>
    <w:p w14:paraId="364FE0F9" w14:textId="317677A4" w:rsidR="00CB5EA7" w:rsidRPr="00CB5EA7" w:rsidRDefault="00CB5EA7" w:rsidP="00CB5EA7"/>
    <w:p w14:paraId="28D8977C" w14:textId="18383FC6" w:rsidR="00CB5EA7" w:rsidRPr="00CB5EA7" w:rsidRDefault="00CB5EA7" w:rsidP="00CB5EA7"/>
    <w:p w14:paraId="40F34C99" w14:textId="50CE4FDD" w:rsidR="00CB5EA7" w:rsidRPr="00CB5EA7" w:rsidRDefault="00CB5EA7" w:rsidP="00CB5EA7"/>
    <w:p w14:paraId="15DAB9AA" w14:textId="03116336" w:rsidR="00CB5EA7" w:rsidRDefault="00CB5EA7" w:rsidP="00CB5EA7">
      <w:pPr>
        <w:rPr>
          <w:b/>
        </w:rPr>
      </w:pPr>
    </w:p>
    <w:p w14:paraId="4D17C7C9" w14:textId="0CFFB225" w:rsidR="00CB5EA7" w:rsidRPr="00CB5EA7" w:rsidRDefault="00CB5EA7" w:rsidP="00CB5EA7">
      <w:pPr>
        <w:tabs>
          <w:tab w:val="left" w:pos="2460"/>
        </w:tabs>
      </w:pPr>
      <w:r>
        <w:tab/>
      </w:r>
      <w:r>
        <w:rPr>
          <w:noProof/>
        </w:rPr>
        <w:drawing>
          <wp:inline distT="0" distB="0" distL="0" distR="0" wp14:anchorId="4861EFF6" wp14:editId="683F1837">
            <wp:extent cx="5943600" cy="3651250"/>
            <wp:effectExtent l="0" t="0" r="0" b="6350"/>
            <wp:docPr id="1" name="Picture 1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5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5EA7" w:rsidRPr="00CB5EA7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D4F27" w14:textId="77777777" w:rsidR="009E5193" w:rsidRDefault="009E5193" w:rsidP="000B50D1">
      <w:pPr>
        <w:spacing w:after="0" w:line="240" w:lineRule="auto"/>
      </w:pPr>
      <w:r>
        <w:separator/>
      </w:r>
    </w:p>
  </w:endnote>
  <w:endnote w:type="continuationSeparator" w:id="0">
    <w:p w14:paraId="07C9702B" w14:textId="77777777" w:rsidR="009E5193" w:rsidRDefault="009E5193" w:rsidP="000B5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4C760" w14:textId="2EC2A4F5" w:rsidR="000B50D1" w:rsidRPr="000B50D1" w:rsidRDefault="000B50D1">
    <w:pPr>
      <w:pStyle w:val="Footer"/>
      <w:rPr>
        <w:rFonts w:ascii="Times New Roman" w:hAnsi="Times New Roman" w:cs="Times New Roman"/>
        <w:sz w:val="20"/>
      </w:rPr>
    </w:pPr>
    <w:r w:rsidRPr="000B50D1">
      <w:rPr>
        <w:rFonts w:ascii="Times New Roman" w:hAnsi="Times New Roman" w:cs="Times New Roman"/>
        <w:sz w:val="20"/>
      </w:rPr>
      <w:t>[pv_</w:t>
    </w:r>
    <w:r w:rsidR="00CB5EA7">
      <w:rPr>
        <w:rFonts w:ascii="Times New Roman" w:hAnsi="Times New Roman" w:cs="Times New Roman"/>
        <w:sz w:val="20"/>
      </w:rPr>
      <w:t>8-26-22</w:t>
    </w:r>
    <w:r w:rsidRPr="000B50D1">
      <w:rPr>
        <w:rFonts w:ascii="Times New Roman" w:hAnsi="Times New Roman" w:cs="Times New Roman"/>
        <w:sz w:val="20"/>
      </w:rPr>
      <w:t>]</w:t>
    </w:r>
    <w:r w:rsidRPr="000B50D1">
      <w:rPr>
        <w:rFonts w:ascii="Times New Roman" w:hAnsi="Times New Roman" w:cs="Times New Roman"/>
        <w:sz w:val="20"/>
      </w:rPr>
      <w:tab/>
      <w:t xml:space="preserve">Version </w:t>
    </w:r>
    <w:r w:rsidR="00A421BA">
      <w:rPr>
        <w:rFonts w:ascii="Times New Roman" w:hAnsi="Times New Roman" w:cs="Times New Roman"/>
        <w:sz w:val="20"/>
      </w:rPr>
      <w:t>1</w:t>
    </w:r>
    <w:r w:rsidRPr="000B50D1">
      <w:rPr>
        <w:rFonts w:ascii="Times New Roman" w:hAnsi="Times New Roman" w:cs="Times New Roman"/>
        <w:sz w:val="20"/>
      </w:rPr>
      <w:tab/>
    </w:r>
    <w:r w:rsidR="00CB5EA7">
      <w:rPr>
        <w:rFonts w:ascii="Times New Roman" w:hAnsi="Times New Roman" w:cs="Times New Roman"/>
        <w:sz w:val="20"/>
      </w:rPr>
      <w:t>A211801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5C46F" w14:textId="77777777" w:rsidR="009E5193" w:rsidRDefault="009E5193" w:rsidP="000B50D1">
      <w:pPr>
        <w:spacing w:after="0" w:line="240" w:lineRule="auto"/>
      </w:pPr>
      <w:r>
        <w:separator/>
      </w:r>
    </w:p>
  </w:footnote>
  <w:footnote w:type="continuationSeparator" w:id="0">
    <w:p w14:paraId="77048107" w14:textId="77777777" w:rsidR="009E5193" w:rsidRDefault="009E5193" w:rsidP="000B5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6487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4397DAD" w14:textId="77777777" w:rsidR="000B50D1" w:rsidRPr="000B50D1" w:rsidRDefault="000B50D1">
        <w:pPr>
          <w:pStyle w:val="Head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B50D1">
          <w:rPr>
            <w:rFonts w:ascii="Times New Roman" w:hAnsi="Times New Roman" w:cs="Times New Roman"/>
            <w:sz w:val="20"/>
            <w:szCs w:val="20"/>
          </w:rPr>
          <w:t xml:space="preserve">Page </w:t>
        </w:r>
        <w:r w:rsidRPr="000B50D1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0B50D1">
          <w:rPr>
            <w:rFonts w:ascii="Times New Roman" w:hAnsi="Times New Roman" w:cs="Times New Roman"/>
            <w:b/>
            <w:bCs/>
            <w:sz w:val="20"/>
            <w:szCs w:val="20"/>
          </w:rPr>
          <w:instrText xml:space="preserve"> PAGE </w:instrText>
        </w:r>
        <w:r w:rsidRPr="000B50D1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="00B60179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t>1</w:t>
        </w:r>
        <w:r w:rsidRPr="000B50D1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  <w:r w:rsidRPr="000B50D1">
          <w:rPr>
            <w:rFonts w:ascii="Times New Roman" w:hAnsi="Times New Roman" w:cs="Times New Roman"/>
            <w:sz w:val="20"/>
            <w:szCs w:val="20"/>
          </w:rPr>
          <w:t xml:space="preserve"> of </w:t>
        </w:r>
        <w:r w:rsidRPr="000B50D1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0B50D1">
          <w:rPr>
            <w:rFonts w:ascii="Times New Roman" w:hAnsi="Times New Roman" w:cs="Times New Roman"/>
            <w:b/>
            <w:bCs/>
            <w:sz w:val="20"/>
            <w:szCs w:val="20"/>
          </w:rPr>
          <w:instrText xml:space="preserve"> NUMPAGES  </w:instrText>
        </w:r>
        <w:r w:rsidRPr="000B50D1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="00B60179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t>4</w:t>
        </w:r>
        <w:r w:rsidRPr="000B50D1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</w:p>
    </w:sdtContent>
  </w:sdt>
  <w:p w14:paraId="7C970AAC" w14:textId="77777777" w:rsidR="000B50D1" w:rsidRDefault="000B50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2D0D"/>
    <w:multiLevelType w:val="hybridMultilevel"/>
    <w:tmpl w:val="DB504D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B5FF4"/>
    <w:multiLevelType w:val="hybridMultilevel"/>
    <w:tmpl w:val="D212AE84"/>
    <w:lvl w:ilvl="0" w:tplc="11F652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27B07"/>
    <w:multiLevelType w:val="hybridMultilevel"/>
    <w:tmpl w:val="B1500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875E5"/>
    <w:multiLevelType w:val="hybridMultilevel"/>
    <w:tmpl w:val="25C4405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F11D74"/>
    <w:multiLevelType w:val="hybridMultilevel"/>
    <w:tmpl w:val="51CC74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872E9"/>
    <w:multiLevelType w:val="hybridMultilevel"/>
    <w:tmpl w:val="681C94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974BC"/>
    <w:multiLevelType w:val="hybridMultilevel"/>
    <w:tmpl w:val="F560F3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10EB1"/>
    <w:multiLevelType w:val="hybridMultilevel"/>
    <w:tmpl w:val="931ADE3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AE681A"/>
    <w:multiLevelType w:val="hybridMultilevel"/>
    <w:tmpl w:val="27765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A7084"/>
    <w:multiLevelType w:val="hybridMultilevel"/>
    <w:tmpl w:val="332EE3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66D32"/>
    <w:multiLevelType w:val="hybridMultilevel"/>
    <w:tmpl w:val="AA82EE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94F10"/>
    <w:multiLevelType w:val="hybridMultilevel"/>
    <w:tmpl w:val="E396B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42CA9"/>
    <w:multiLevelType w:val="hybridMultilevel"/>
    <w:tmpl w:val="F6060B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0F3D6C"/>
    <w:multiLevelType w:val="hybridMultilevel"/>
    <w:tmpl w:val="D1D21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55C99"/>
    <w:multiLevelType w:val="hybridMultilevel"/>
    <w:tmpl w:val="DB329D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726D8"/>
    <w:multiLevelType w:val="hybridMultilevel"/>
    <w:tmpl w:val="8222C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F57AD"/>
    <w:multiLevelType w:val="hybridMultilevel"/>
    <w:tmpl w:val="461E484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9603FE"/>
    <w:multiLevelType w:val="hybridMultilevel"/>
    <w:tmpl w:val="BD34EE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B74F0"/>
    <w:multiLevelType w:val="hybridMultilevel"/>
    <w:tmpl w:val="F51862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397C87"/>
    <w:multiLevelType w:val="hybridMultilevel"/>
    <w:tmpl w:val="211C9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02EBF"/>
    <w:multiLevelType w:val="hybridMultilevel"/>
    <w:tmpl w:val="74B6DD20"/>
    <w:lvl w:ilvl="0" w:tplc="7AAA5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46B48"/>
    <w:multiLevelType w:val="hybridMultilevel"/>
    <w:tmpl w:val="F560F3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B0B65"/>
    <w:multiLevelType w:val="hybridMultilevel"/>
    <w:tmpl w:val="A9AEF4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1296"/>
    <w:multiLevelType w:val="hybridMultilevel"/>
    <w:tmpl w:val="749CE3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4339E0"/>
    <w:multiLevelType w:val="hybridMultilevel"/>
    <w:tmpl w:val="384E8860"/>
    <w:lvl w:ilvl="0" w:tplc="BB46078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4152102">
    <w:abstractNumId w:val="19"/>
  </w:num>
  <w:num w:numId="2" w16cid:durableId="606156552">
    <w:abstractNumId w:val="13"/>
  </w:num>
  <w:num w:numId="3" w16cid:durableId="641496060">
    <w:abstractNumId w:val="24"/>
  </w:num>
  <w:num w:numId="4" w16cid:durableId="1732607298">
    <w:abstractNumId w:val="23"/>
  </w:num>
  <w:num w:numId="5" w16cid:durableId="283971408">
    <w:abstractNumId w:val="15"/>
  </w:num>
  <w:num w:numId="6" w16cid:durableId="1554342643">
    <w:abstractNumId w:val="14"/>
  </w:num>
  <w:num w:numId="7" w16cid:durableId="838813639">
    <w:abstractNumId w:val="9"/>
  </w:num>
  <w:num w:numId="8" w16cid:durableId="900943118">
    <w:abstractNumId w:val="4"/>
  </w:num>
  <w:num w:numId="9" w16cid:durableId="1912232861">
    <w:abstractNumId w:val="17"/>
  </w:num>
  <w:num w:numId="10" w16cid:durableId="747120442">
    <w:abstractNumId w:val="12"/>
  </w:num>
  <w:num w:numId="11" w16cid:durableId="460466013">
    <w:abstractNumId w:val="22"/>
  </w:num>
  <w:num w:numId="12" w16cid:durableId="274484877">
    <w:abstractNumId w:val="18"/>
  </w:num>
  <w:num w:numId="13" w16cid:durableId="1542352961">
    <w:abstractNumId w:val="2"/>
  </w:num>
  <w:num w:numId="14" w16cid:durableId="642078791">
    <w:abstractNumId w:val="21"/>
  </w:num>
  <w:num w:numId="15" w16cid:durableId="1311062492">
    <w:abstractNumId w:val="6"/>
  </w:num>
  <w:num w:numId="16" w16cid:durableId="1978997863">
    <w:abstractNumId w:val="11"/>
  </w:num>
  <w:num w:numId="17" w16cid:durableId="1758405865">
    <w:abstractNumId w:val="10"/>
  </w:num>
  <w:num w:numId="18" w16cid:durableId="1581866040">
    <w:abstractNumId w:val="5"/>
  </w:num>
  <w:num w:numId="19" w16cid:durableId="1003514700">
    <w:abstractNumId w:val="16"/>
  </w:num>
  <w:num w:numId="20" w16cid:durableId="1336416453">
    <w:abstractNumId w:val="3"/>
  </w:num>
  <w:num w:numId="21" w16cid:durableId="135808025">
    <w:abstractNumId w:val="7"/>
  </w:num>
  <w:num w:numId="22" w16cid:durableId="990715730">
    <w:abstractNumId w:val="0"/>
  </w:num>
  <w:num w:numId="23" w16cid:durableId="578635064">
    <w:abstractNumId w:val="8"/>
  </w:num>
  <w:num w:numId="24" w16cid:durableId="700008440">
    <w:abstractNumId w:val="20"/>
  </w:num>
  <w:num w:numId="25" w16cid:durableId="2032562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D1"/>
    <w:rsid w:val="00082A79"/>
    <w:rsid w:val="00096DB1"/>
    <w:rsid w:val="000A0B73"/>
    <w:rsid w:val="000B50D1"/>
    <w:rsid w:val="001D6C5E"/>
    <w:rsid w:val="002776AD"/>
    <w:rsid w:val="00287277"/>
    <w:rsid w:val="00314FCE"/>
    <w:rsid w:val="003E43FC"/>
    <w:rsid w:val="00411808"/>
    <w:rsid w:val="004763F4"/>
    <w:rsid w:val="004D2215"/>
    <w:rsid w:val="004E7186"/>
    <w:rsid w:val="00504641"/>
    <w:rsid w:val="00535243"/>
    <w:rsid w:val="00684B4B"/>
    <w:rsid w:val="0070375C"/>
    <w:rsid w:val="007A4641"/>
    <w:rsid w:val="00843EA2"/>
    <w:rsid w:val="0088275A"/>
    <w:rsid w:val="00957919"/>
    <w:rsid w:val="009C7945"/>
    <w:rsid w:val="009D6015"/>
    <w:rsid w:val="009D7936"/>
    <w:rsid w:val="009D7AEE"/>
    <w:rsid w:val="009E5193"/>
    <w:rsid w:val="009F4DC4"/>
    <w:rsid w:val="00A421BA"/>
    <w:rsid w:val="00A7203B"/>
    <w:rsid w:val="00A745FB"/>
    <w:rsid w:val="00AE12D2"/>
    <w:rsid w:val="00B60179"/>
    <w:rsid w:val="00BA6559"/>
    <w:rsid w:val="00CB5EA7"/>
    <w:rsid w:val="00D767B2"/>
    <w:rsid w:val="00D852BC"/>
    <w:rsid w:val="00DC06C1"/>
    <w:rsid w:val="00EF3723"/>
    <w:rsid w:val="00F4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5CACC"/>
  <w15:docId w15:val="{201E0CA7-A627-42D3-836A-8FCCB2C2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5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0D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B50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50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0B5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0D1"/>
  </w:style>
  <w:style w:type="paragraph" w:styleId="Footer">
    <w:name w:val="footer"/>
    <w:basedOn w:val="Normal"/>
    <w:link w:val="FooterChar"/>
    <w:uiPriority w:val="99"/>
    <w:unhideWhenUsed/>
    <w:rsid w:val="000B5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0D1"/>
  </w:style>
  <w:style w:type="paragraph" w:styleId="ListParagraph">
    <w:name w:val="List Paragraph"/>
    <w:basedOn w:val="Normal"/>
    <w:uiPriority w:val="34"/>
    <w:qFormat/>
    <w:rsid w:val="00A421BA"/>
    <w:pPr>
      <w:ind w:left="720"/>
      <w:contextualSpacing/>
    </w:pPr>
  </w:style>
  <w:style w:type="paragraph" w:customStyle="1" w:styleId="Default">
    <w:name w:val="Default"/>
    <w:rsid w:val="009C79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DFD247FE28E48B63989309D0FA42D" ma:contentTypeVersion="13" ma:contentTypeDescription="Create a new document." ma:contentTypeScope="" ma:versionID="63e80852357275430194a062b61b645f">
  <xsd:schema xmlns:xsd="http://www.w3.org/2001/XMLSchema" xmlns:xs="http://www.w3.org/2001/XMLSchema" xmlns:p="http://schemas.microsoft.com/office/2006/metadata/properties" xmlns:ns3="a712be80-2ea5-418c-abd8-e7fbf1b4e532" xmlns:ns4="ee9d132f-5002-471a-9620-959d34f883ba" targetNamespace="http://schemas.microsoft.com/office/2006/metadata/properties" ma:root="true" ma:fieldsID="672b444a192fbf03c97e7a6b51895214" ns3:_="" ns4:_="">
    <xsd:import namespace="a712be80-2ea5-418c-abd8-e7fbf1b4e532"/>
    <xsd:import namespace="ee9d132f-5002-471a-9620-959d34f883b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2be80-2ea5-418c-abd8-e7fbf1b4e5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d132f-5002-471a-9620-959d34f88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916F73-BFA7-4C91-AD50-FE5D2B1057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29F7A8-F54F-4E1B-B6BC-D44AA04E2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12be80-2ea5-418c-abd8-e7fbf1b4e532"/>
    <ds:schemaRef ds:uri="ee9d132f-5002-471a-9620-959d34f88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34571E-5866-49D6-871A-7DFFE40947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Spectrum Health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Koning, Hatti A.</dc:creator>
  <cp:lastModifiedBy>Hicks, Anthony W.</cp:lastModifiedBy>
  <cp:revision>3</cp:revision>
  <dcterms:created xsi:type="dcterms:W3CDTF">2022-10-26T16:37:00Z</dcterms:created>
  <dcterms:modified xsi:type="dcterms:W3CDTF">2022-10-26T16:42:00Z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0x010100332DFD247FE28E48B63989309D0FA42D</vt:lpwstr>
  </property>
</Properties>
</file>